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D30037" w:rsidRPr="00D30037">
        <w:rPr>
          <w:rFonts w:cs="Arial"/>
          <w:b/>
          <w:sz w:val="24"/>
          <w:szCs w:val="24"/>
        </w:rPr>
        <w:t>R3-197161</w:t>
      </w:r>
    </w:p>
    <w:p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_GoBack"/>
      <w:bookmarkEnd w:id="1"/>
      <w:r w:rsidR="00707362">
        <w:rPr>
          <w:rFonts w:ascii="Arial" w:hAnsi="Arial"/>
          <w:sz w:val="24"/>
          <w:lang w:eastAsia="zh-CN"/>
        </w:rPr>
        <w:t>Quota handling</w:t>
      </w:r>
      <w:r w:rsidR="00492450" w:rsidRPr="007D3E81">
        <w:rPr>
          <w:rFonts w:ascii="Arial" w:hAnsi="Arial"/>
          <w:sz w:val="24"/>
          <w:lang w:eastAsia="zh-CN"/>
        </w:rPr>
        <w:t xml:space="preserve">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C57DB">
        <w:rPr>
          <w:rFonts w:ascii="Arial" w:hAnsi="Arial"/>
          <w:sz w:val="24"/>
          <w:lang w:eastAsia="zh-CN"/>
        </w:rPr>
        <w:t>7.1</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707362">
        <w:rPr>
          <w:rFonts w:ascii="Arial" w:hAnsi="Arial"/>
          <w:sz w:val="24"/>
          <w:lang w:eastAsia="zh-CN"/>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6D316A" w:rsidRPr="00707362" w:rsidRDefault="00707362" w:rsidP="006D316A">
      <w:pPr>
        <w:rPr>
          <w:lang w:eastAsia="zh-CN"/>
        </w:rPr>
      </w:pPr>
      <w:r w:rsidRPr="00707362">
        <w:rPr>
          <w:lang w:eastAsia="zh-CN"/>
        </w:rPr>
        <w:t xml:space="preserve">Quota was discussed briefly in RAN3#105b and will be used for the first time in RAN3#106. </w:t>
      </w:r>
      <w:r>
        <w:rPr>
          <w:lang w:eastAsia="zh-CN"/>
        </w:rPr>
        <w:t>In this paper we discuss the proposed quota implementation.</w:t>
      </w:r>
    </w:p>
    <w:p w:rsidR="006D316A" w:rsidRPr="007D3E81" w:rsidRDefault="006D316A" w:rsidP="006D316A">
      <w:pPr>
        <w:pStyle w:val="Heading1"/>
        <w:rPr>
          <w:rFonts w:eastAsia="SimSun"/>
          <w:lang w:eastAsia="zh-CN"/>
        </w:rPr>
      </w:pPr>
      <w:r>
        <w:rPr>
          <w:rFonts w:eastAsia="SimSun"/>
          <w:lang w:eastAsia="zh-CN"/>
        </w:rPr>
        <w:t xml:space="preserve">2 </w:t>
      </w:r>
      <w:r w:rsidRPr="007D3E81">
        <w:rPr>
          <w:rFonts w:eastAsia="SimSun"/>
          <w:lang w:eastAsia="zh-CN"/>
        </w:rPr>
        <w:t>Discussion</w:t>
      </w:r>
    </w:p>
    <w:p w:rsidR="006D316A" w:rsidRPr="007D3E81" w:rsidRDefault="006D316A" w:rsidP="006D316A">
      <w:pPr>
        <w:pStyle w:val="Heading2"/>
        <w:rPr>
          <w:rFonts w:eastAsia="SimSun"/>
          <w:lang w:eastAsia="zh-CN"/>
        </w:rPr>
      </w:pPr>
      <w:r>
        <w:rPr>
          <w:rFonts w:eastAsia="SimSun"/>
          <w:lang w:eastAsia="zh-CN"/>
        </w:rPr>
        <w:t xml:space="preserve">2.1 </w:t>
      </w:r>
      <w:r w:rsidR="005942B4">
        <w:rPr>
          <w:rFonts w:eastAsia="SimSun"/>
          <w:lang w:eastAsia="zh-CN"/>
        </w:rPr>
        <w:t>Corrections</w:t>
      </w:r>
    </w:p>
    <w:p w:rsidR="006D316A" w:rsidRDefault="006D316A" w:rsidP="006D316A">
      <w:r>
        <w:rPr>
          <w:lang w:eastAsia="zh-CN"/>
        </w:rPr>
        <w:t xml:space="preserve">The background for introducing the quota is to reduce the load on the chairman who </w:t>
      </w:r>
      <w:r>
        <w:t xml:space="preserve">builds a logical thread for discussions. One part of this is moving contributions between agenda items, not only because they are assigned the wrong agenda item but also since sometimes topics from different agenda items are related and impact the same text in the specification. </w:t>
      </w:r>
    </w:p>
    <w:p w:rsidR="006D316A" w:rsidRDefault="006D316A" w:rsidP="002E29BE">
      <w:r>
        <w:t xml:space="preserve">For companies and delegates, an increase in the number of documents will increase the load for review but, if we look at corrections, this increased load may be worth taking in order to avoid unclear specifications which in the end may cause </w:t>
      </w:r>
      <w:proofErr w:type="spellStart"/>
      <w:r>
        <w:t>IoT</w:t>
      </w:r>
      <w:proofErr w:type="spellEnd"/>
      <w:r>
        <w:t xml:space="preserve"> issues with larger impact. Therefore, correcting the specifications is very important.</w:t>
      </w:r>
      <w:r w:rsidR="005B6665">
        <w:t xml:space="preserve"> It is important that correction</w:t>
      </w:r>
      <w:r w:rsidR="002C34C3">
        <w:t>s</w:t>
      </w:r>
      <w:r w:rsidR="005B6665">
        <w:t xml:space="preserve"> have a clear submission (discussion, CRs, LS if needed) and </w:t>
      </w:r>
      <w:r w:rsidR="00AB3CFD">
        <w:t>that it is</w:t>
      </w:r>
      <w:r w:rsidR="005B6665">
        <w:t xml:space="preserve"> treated. Sometime the discussion related to a no</w:t>
      </w:r>
      <w:r w:rsidR="00AB3CFD">
        <w:t>n-</w:t>
      </w:r>
      <w:r w:rsidR="005B6665">
        <w:t>agreed correction is more important for a company than the correction itself. A common understanding must be reached</w:t>
      </w:r>
      <w:r w:rsidR="00AB3CFD">
        <w:t>.</w:t>
      </w:r>
    </w:p>
    <w:p w:rsidR="006D4FEF" w:rsidRDefault="006D316A" w:rsidP="006D316A">
      <w:pPr>
        <w:rPr>
          <w:lang w:eastAsia="zh-CN"/>
        </w:rPr>
      </w:pPr>
      <w:r>
        <w:t xml:space="preserve">Regarding WI, SI and TEI it </w:t>
      </w:r>
      <w:r w:rsidR="005B6665">
        <w:t xml:space="preserve">is </w:t>
      </w:r>
      <w:r>
        <w:t xml:space="preserve">indeed important to reduce the load. The key point here is finding the trade-off between the feature itself (complexity </w:t>
      </w:r>
      <w:proofErr w:type="spellStart"/>
      <w:r>
        <w:t>etc</w:t>
      </w:r>
      <w:proofErr w:type="spellEnd"/>
      <w:r>
        <w:t>) and the quality of the agreements to make sure the features we are developing and that are agreed are introduced with as little future problems as possible. Any errors introduced in this phase will lead to more papers in the correction part later.</w:t>
      </w:r>
      <w:r w:rsidR="006D4FEF">
        <w:rPr>
          <w:lang w:eastAsia="zh-CN"/>
        </w:rPr>
        <w:t xml:space="preserve"> </w:t>
      </w:r>
    </w:p>
    <w:p w:rsidR="005942B4" w:rsidRDefault="006D316A" w:rsidP="006D316A">
      <w:pPr>
        <w:rPr>
          <w:b/>
        </w:rPr>
      </w:pPr>
      <w:r w:rsidRPr="000C64A4">
        <w:rPr>
          <w:b/>
        </w:rPr>
        <w:t xml:space="preserve">Observation 1: The need for limiting </w:t>
      </w:r>
      <w:proofErr w:type="spellStart"/>
      <w:r w:rsidR="00AB3CFD">
        <w:rPr>
          <w:b/>
        </w:rPr>
        <w:t>tdocs</w:t>
      </w:r>
      <w:proofErr w:type="spellEnd"/>
      <w:r w:rsidR="00AB3CFD">
        <w:rPr>
          <w:b/>
        </w:rPr>
        <w:t xml:space="preserve"> for </w:t>
      </w:r>
      <w:r w:rsidRPr="000C64A4">
        <w:rPr>
          <w:b/>
        </w:rPr>
        <w:t xml:space="preserve">corrections and </w:t>
      </w:r>
      <w:r w:rsidR="00AB3CFD">
        <w:rPr>
          <w:b/>
        </w:rPr>
        <w:t xml:space="preserve">the need for limiting </w:t>
      </w:r>
      <w:proofErr w:type="spellStart"/>
      <w:r w:rsidR="00AB3CFD">
        <w:rPr>
          <w:b/>
        </w:rPr>
        <w:t>tdocs</w:t>
      </w:r>
      <w:proofErr w:type="spellEnd"/>
      <w:r w:rsidR="00AB3CFD">
        <w:rPr>
          <w:b/>
        </w:rPr>
        <w:t xml:space="preserve"> for </w:t>
      </w:r>
      <w:r w:rsidRPr="000C64A4">
        <w:rPr>
          <w:b/>
        </w:rPr>
        <w:t>WI, SI and TEI are very different</w:t>
      </w:r>
      <w:r w:rsidR="006D4FEF">
        <w:rPr>
          <w:b/>
        </w:rPr>
        <w:t>. We should not have limitations for corrections.</w:t>
      </w:r>
    </w:p>
    <w:p w:rsidR="006D4FEF" w:rsidRPr="005942B4" w:rsidRDefault="005942B4" w:rsidP="006D316A">
      <w:r w:rsidRPr="005942B4">
        <w:t xml:space="preserve">We welcome any solution that take </w:t>
      </w:r>
      <w:r w:rsidR="0036635A">
        <w:t xml:space="preserve">the </w:t>
      </w:r>
      <w:r w:rsidR="001C7782">
        <w:t xml:space="preserve">previous </w:t>
      </w:r>
      <w:r w:rsidRPr="005942B4">
        <w:t xml:space="preserve">observation </w:t>
      </w:r>
      <w:r w:rsidR="0036635A" w:rsidRPr="005942B4">
        <w:t xml:space="preserve">into account </w:t>
      </w:r>
      <w:r w:rsidRPr="005942B4">
        <w:t>and will help the chairman to process all corrections in an efficient manner</w:t>
      </w:r>
      <w:r>
        <w:t>.</w:t>
      </w:r>
    </w:p>
    <w:p w:rsidR="006D4FEF" w:rsidRDefault="005942B4" w:rsidP="002E1BDE">
      <w:pPr>
        <w:pStyle w:val="Heading2"/>
      </w:pPr>
      <w:r>
        <w:t xml:space="preserve">2.2 </w:t>
      </w:r>
      <w:proofErr w:type="spellStart"/>
      <w:r>
        <w:t>Cosigners</w:t>
      </w:r>
      <w:proofErr w:type="spellEnd"/>
    </w:p>
    <w:p w:rsidR="005942B4" w:rsidRDefault="005942B4" w:rsidP="005942B4">
      <w:pPr>
        <w:rPr>
          <w:lang w:eastAsia="zh-CN"/>
        </w:rPr>
      </w:pPr>
      <w:r>
        <w:rPr>
          <w:lang w:eastAsia="zh-CN"/>
        </w:rPr>
        <w:t xml:space="preserve">The rule for co-signing poses some potential problems. First of all, it makes the counting more complicated. One example of this is that we need to exclude companies registered with several company names. </w:t>
      </w:r>
      <w:r w:rsidR="0036635A">
        <w:rPr>
          <w:lang w:eastAsia="zh-CN"/>
        </w:rPr>
        <w:t>.</w:t>
      </w:r>
    </w:p>
    <w:p w:rsidR="005942B4" w:rsidRDefault="005942B4" w:rsidP="005942B4">
      <w:pPr>
        <w:rPr>
          <w:lang w:eastAsia="zh-CN"/>
        </w:rPr>
      </w:pPr>
      <w:r>
        <w:rPr>
          <w:lang w:eastAsia="zh-CN"/>
        </w:rPr>
        <w:t xml:space="preserve">Generally, the work to collect co-signing companies is a relatively complicated task where the wish from multiple companies need to be aligned beforehand. This requires the ability to contact companies, usually in a direct manner, and where a technical discussion may be needed to align the views from multiple companies. </w:t>
      </w:r>
      <w:r w:rsidR="0036635A">
        <w:rPr>
          <w:lang w:eastAsia="zh-CN"/>
        </w:rPr>
        <w:t>Ano</w:t>
      </w:r>
      <w:r w:rsidR="001C7782">
        <w:rPr>
          <w:lang w:eastAsia="zh-CN"/>
        </w:rPr>
        <w:t>ther</w:t>
      </w:r>
      <w:r>
        <w:rPr>
          <w:lang w:eastAsia="zh-CN"/>
        </w:rPr>
        <w:t xml:space="preserve"> problem with this is related to the fact that </w:t>
      </w:r>
      <w:r w:rsidR="00742563">
        <w:rPr>
          <w:lang w:eastAsia="zh-CN"/>
        </w:rPr>
        <w:t xml:space="preserve">today </w:t>
      </w:r>
      <w:r>
        <w:rPr>
          <w:lang w:eastAsia="zh-CN"/>
        </w:rPr>
        <w:t xml:space="preserve">some companies are restricted from contacting companies. </w:t>
      </w:r>
    </w:p>
    <w:p w:rsidR="005942B4" w:rsidRDefault="005942B4" w:rsidP="005942B4">
      <w:pPr>
        <w:rPr>
          <w:lang w:eastAsia="zh-CN"/>
        </w:rPr>
      </w:pPr>
      <w:r>
        <w:rPr>
          <w:lang w:eastAsia="zh-CN"/>
        </w:rPr>
        <w:t xml:space="preserve">One example is companies that are new to RAN3, who will have more difficult to reach companies with similar interest. Another scenario which may cause difficulties are where there is a majority of companies promoting one flavour and a </w:t>
      </w:r>
      <w:r>
        <w:rPr>
          <w:lang w:eastAsia="zh-CN"/>
        </w:rPr>
        <w:lastRenderedPageBreak/>
        <w:t xml:space="preserve">smaller group (e.g. 1-2) that support an alternative solution. This second group may be limited in the number of </w:t>
      </w:r>
      <w:proofErr w:type="spellStart"/>
      <w:r>
        <w:rPr>
          <w:lang w:eastAsia="zh-CN"/>
        </w:rPr>
        <w:t>tdocs</w:t>
      </w:r>
      <w:proofErr w:type="spellEnd"/>
      <w:r>
        <w:rPr>
          <w:lang w:eastAsia="zh-CN"/>
        </w:rPr>
        <w:t xml:space="preserve"> that can be provided whereas the other group does not have these limitations. </w:t>
      </w:r>
    </w:p>
    <w:p w:rsidR="005942B4" w:rsidRPr="002E1BDE" w:rsidRDefault="005942B4" w:rsidP="005942B4">
      <w:pPr>
        <w:rPr>
          <w:b/>
          <w:lang w:eastAsia="zh-CN"/>
        </w:rPr>
      </w:pPr>
      <w:r w:rsidRPr="002E1BDE">
        <w:rPr>
          <w:b/>
          <w:lang w:eastAsia="zh-CN"/>
        </w:rPr>
        <w:t xml:space="preserve">Observation 2: Complex rules may cause confusion and unexpected </w:t>
      </w:r>
      <w:r w:rsidR="002E1BDE" w:rsidRPr="002E1BDE">
        <w:rPr>
          <w:b/>
          <w:lang w:eastAsia="zh-CN"/>
        </w:rPr>
        <w:t>behaviours</w:t>
      </w:r>
      <w:r w:rsidRPr="002E1BDE">
        <w:rPr>
          <w:b/>
          <w:lang w:eastAsia="zh-CN"/>
        </w:rPr>
        <w:t xml:space="preserve"> that also may </w:t>
      </w:r>
      <w:r w:rsidR="002E29BE">
        <w:rPr>
          <w:b/>
          <w:lang w:eastAsia="zh-CN"/>
        </w:rPr>
        <w:t>impact</w:t>
      </w:r>
      <w:r w:rsidR="002E29BE" w:rsidRPr="002E1BDE">
        <w:rPr>
          <w:b/>
          <w:lang w:eastAsia="zh-CN"/>
        </w:rPr>
        <w:t xml:space="preserve"> </w:t>
      </w:r>
      <w:r w:rsidRPr="002E1BDE">
        <w:rPr>
          <w:b/>
          <w:lang w:eastAsia="zh-CN"/>
        </w:rPr>
        <w:t>efficiency.</w:t>
      </w:r>
    </w:p>
    <w:p w:rsidR="005942B4" w:rsidRPr="005942B4" w:rsidRDefault="005942B4" w:rsidP="005942B4">
      <w:r>
        <w:t>We welcome any simplified solution for counting, e.g. only counting sourcing company (like RAN2).</w:t>
      </w:r>
    </w:p>
    <w:p w:rsidR="005942B4" w:rsidRPr="005942B4" w:rsidRDefault="005942B4" w:rsidP="005942B4">
      <w:pPr>
        <w:pStyle w:val="Heading2"/>
      </w:pPr>
      <w:r>
        <w:t>2.3 Consequence</w:t>
      </w:r>
    </w:p>
    <w:p w:rsidR="005942B4" w:rsidRDefault="005942B4" w:rsidP="005942B4">
      <w:pPr>
        <w:rPr>
          <w:lang w:eastAsia="zh-CN"/>
        </w:rPr>
      </w:pPr>
      <w:r>
        <w:rPr>
          <w:lang w:eastAsia="zh-CN"/>
        </w:rPr>
        <w:t xml:space="preserve">We think the effort by the chair to re-organize papers are </w:t>
      </w:r>
      <w:r w:rsidR="00DA0107">
        <w:rPr>
          <w:lang w:eastAsia="zh-CN"/>
        </w:rPr>
        <w:t xml:space="preserve">more than </w:t>
      </w:r>
      <w:r>
        <w:rPr>
          <w:lang w:eastAsia="zh-CN"/>
        </w:rPr>
        <w:t xml:space="preserve">valuable but we realized this may also cause difficult situations related to quota. One such example is an incoming LS on L2 measurements, which we suspect will be moved from agenda item 8.1 to agenda item 10.3.5. Agenda item 8.1 does not have a quota </w:t>
      </w:r>
      <w:r w:rsidR="002E29BE">
        <w:rPr>
          <w:lang w:eastAsia="zh-CN"/>
        </w:rPr>
        <w:t>(</w:t>
      </w:r>
      <w:r>
        <w:rPr>
          <w:lang w:eastAsia="zh-CN"/>
        </w:rPr>
        <w:t xml:space="preserve">which we </w:t>
      </w:r>
      <w:r w:rsidR="002E29BE">
        <w:rPr>
          <w:lang w:eastAsia="zh-CN"/>
        </w:rPr>
        <w:t xml:space="preserve">think is </w:t>
      </w:r>
      <w:r>
        <w:rPr>
          <w:lang w:eastAsia="zh-CN"/>
        </w:rPr>
        <w:t>reasonable</w:t>
      </w:r>
      <w:r w:rsidR="002E29BE">
        <w:rPr>
          <w:lang w:eastAsia="zh-CN"/>
        </w:rPr>
        <w:t>)</w:t>
      </w:r>
      <w:r>
        <w:rPr>
          <w:lang w:eastAsia="zh-CN"/>
        </w:rPr>
        <w:t xml:space="preserve"> but agenda item 10.3 has a quota. </w:t>
      </w:r>
    </w:p>
    <w:p w:rsidR="005942B4" w:rsidRDefault="005942B4" w:rsidP="005942B4">
      <w:r>
        <w:rPr>
          <w:lang w:eastAsia="zh-CN"/>
        </w:rPr>
        <w:t xml:space="preserve">We support the chairs action of moving documents. Currently we allow companies to challenge the suggestion to move so no further changes </w:t>
      </w:r>
      <w:r w:rsidR="002E29BE">
        <w:rPr>
          <w:lang w:eastAsia="zh-CN"/>
        </w:rPr>
        <w:t xml:space="preserve">to the rules </w:t>
      </w:r>
      <w:r>
        <w:rPr>
          <w:lang w:eastAsia="zh-CN"/>
        </w:rPr>
        <w:t xml:space="preserve">are needed here. But as described above, this has some impact on the enforcement of the quota. </w:t>
      </w:r>
      <w:r>
        <w:t xml:space="preserve">We </w:t>
      </w:r>
      <w:r w:rsidR="00DA0107">
        <w:t xml:space="preserve">suggest as example </w:t>
      </w:r>
      <w:r>
        <w:t xml:space="preserve">that the enforcement of the quota </w:t>
      </w:r>
      <w:r w:rsidR="0036635A">
        <w:t xml:space="preserve">could </w:t>
      </w:r>
      <w:r>
        <w:t xml:space="preserve">be </w:t>
      </w:r>
      <w:r w:rsidR="002E29BE">
        <w:t xml:space="preserve">only </w:t>
      </w:r>
      <w:r>
        <w:t xml:space="preserve">done before the meeting, e.g. before the agenda for the meeting is approved but after the documents are moved by the chair. This would guarantee that valuable meeting time is not spent on counting and re-counting contributions if any movement of </w:t>
      </w:r>
      <w:proofErr w:type="spellStart"/>
      <w:r>
        <w:t>tdocs</w:t>
      </w:r>
      <w:proofErr w:type="spellEnd"/>
      <w:r>
        <w:t xml:space="preserve"> are done during the meeting. </w:t>
      </w:r>
    </w:p>
    <w:p w:rsidR="00D72E13" w:rsidRPr="002E1BDE" w:rsidRDefault="00D72E13" w:rsidP="00D72E13">
      <w:r w:rsidRPr="002E1BDE">
        <w:t xml:space="preserve">In any case, it is </w:t>
      </w:r>
      <w:r w:rsidR="002E29BE">
        <w:t xml:space="preserve">always </w:t>
      </w:r>
      <w:r w:rsidRPr="002E1BDE">
        <w:t xml:space="preserve">up to the chairman to decide which </w:t>
      </w:r>
      <w:proofErr w:type="spellStart"/>
      <w:r w:rsidRPr="002E1BDE">
        <w:t>tdocs</w:t>
      </w:r>
      <w:proofErr w:type="spellEnd"/>
      <w:r w:rsidRPr="002E1BDE">
        <w:t xml:space="preserve"> to open</w:t>
      </w:r>
      <w:r w:rsidR="00DA0107">
        <w:t xml:space="preserve"> when overload occurs</w:t>
      </w:r>
      <w:r w:rsidRPr="002E1BDE">
        <w:t xml:space="preserve">. </w:t>
      </w:r>
    </w:p>
    <w:p w:rsidR="00D72E13" w:rsidRPr="00D72E13" w:rsidRDefault="00D72E13" w:rsidP="006D316A">
      <w:pPr>
        <w:rPr>
          <w:b/>
        </w:rPr>
      </w:pPr>
      <w:r w:rsidRPr="002E1BDE">
        <w:rPr>
          <w:b/>
        </w:rPr>
        <w:t xml:space="preserve">Observation 3: </w:t>
      </w:r>
      <w:r w:rsidRPr="00D72E13">
        <w:rPr>
          <w:b/>
        </w:rPr>
        <w:t>Having a strict r</w:t>
      </w:r>
      <w:r>
        <w:rPr>
          <w:b/>
        </w:rPr>
        <w:t>ul</w:t>
      </w:r>
      <w:r w:rsidRPr="00D72E13">
        <w:rPr>
          <w:b/>
        </w:rPr>
        <w:t xml:space="preserve">e may help. But a strict rule requires that it is well defined. We need to </w:t>
      </w:r>
      <w:r>
        <w:rPr>
          <w:b/>
        </w:rPr>
        <w:t>understand</w:t>
      </w:r>
      <w:r w:rsidRPr="00D72E13">
        <w:rPr>
          <w:b/>
        </w:rPr>
        <w:t xml:space="preserve"> when </w:t>
      </w:r>
      <w:r>
        <w:rPr>
          <w:b/>
        </w:rPr>
        <w:t xml:space="preserve">the rule applies </w:t>
      </w:r>
      <w:r w:rsidRPr="00D72E13">
        <w:rPr>
          <w:b/>
        </w:rPr>
        <w:t>(at submission</w:t>
      </w:r>
      <w:r w:rsidR="002E29BE">
        <w:rPr>
          <w:b/>
        </w:rPr>
        <w:t>, at the</w:t>
      </w:r>
      <w:r w:rsidRPr="00D72E13">
        <w:rPr>
          <w:b/>
        </w:rPr>
        <w:t xml:space="preserve"> start of </w:t>
      </w:r>
      <w:r w:rsidR="002E29BE">
        <w:rPr>
          <w:b/>
        </w:rPr>
        <w:t xml:space="preserve">the </w:t>
      </w:r>
      <w:r w:rsidRPr="00D72E13">
        <w:rPr>
          <w:b/>
        </w:rPr>
        <w:t>meeting</w:t>
      </w:r>
      <w:r w:rsidR="002E29BE">
        <w:rPr>
          <w:b/>
        </w:rPr>
        <w:t>, or during the meeting</w:t>
      </w:r>
      <w:r w:rsidRPr="00D72E13">
        <w:rPr>
          <w:b/>
        </w:rPr>
        <w:t>).</w:t>
      </w:r>
    </w:p>
    <w:p w:rsidR="00D72E13" w:rsidRPr="00D72E13" w:rsidRDefault="00D72E13" w:rsidP="006D316A">
      <w:r w:rsidRPr="002E1BDE">
        <w:t xml:space="preserve">We welcome any solution that minimize the discussion of the rule itself during the meeting and enables us to use our normal way of working in RAN3 (e.g. chair can move </w:t>
      </w:r>
      <w:proofErr w:type="spellStart"/>
      <w:r w:rsidRPr="002E1BDE">
        <w:t>tdocs</w:t>
      </w:r>
      <w:proofErr w:type="spellEnd"/>
      <w:r w:rsidRPr="002E1BDE">
        <w:t xml:space="preserve">). </w:t>
      </w:r>
    </w:p>
    <w:p w:rsidR="002E1BDE" w:rsidRDefault="002E1BDE" w:rsidP="002E1BDE">
      <w:pPr>
        <w:pStyle w:val="Heading1"/>
      </w:pPr>
      <w:r>
        <w:t>3. Conclusion</w:t>
      </w:r>
    </w:p>
    <w:p w:rsidR="002E1BDE" w:rsidRDefault="002E1BDE" w:rsidP="006D316A">
      <w:r>
        <w:t>We invite RAN3 to discuss the observations put forward.</w:t>
      </w:r>
    </w:p>
    <w:bookmarkEnd w:id="0"/>
    <w:p w:rsidR="0020734E" w:rsidRPr="007D3E81" w:rsidRDefault="0020734E" w:rsidP="003770E7">
      <w:pPr>
        <w:ind w:left="360"/>
        <w:rPr>
          <w:lang w:eastAsia="zh-CN"/>
        </w:rPr>
      </w:pPr>
    </w:p>
    <w:sectPr w:rsidR="0020734E"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F98" w:rsidRDefault="00E75F98">
      <w:r>
        <w:separator/>
      </w:r>
    </w:p>
  </w:endnote>
  <w:endnote w:type="continuationSeparator" w:id="0">
    <w:p w:rsidR="00E75F98" w:rsidRDefault="00E7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BDE" w:rsidRDefault="002E1B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F98" w:rsidRDefault="00E75F98">
      <w:r>
        <w:separator/>
      </w:r>
    </w:p>
  </w:footnote>
  <w:footnote w:type="continuationSeparator" w:id="0">
    <w:p w:rsidR="00E75F98" w:rsidRDefault="00E75F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224446"/>
    <w:multiLevelType w:val="hybridMultilevel"/>
    <w:tmpl w:val="F20EA64E"/>
    <w:lvl w:ilvl="0" w:tplc="AC7A46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ED61275"/>
    <w:multiLevelType w:val="hybridMultilevel"/>
    <w:tmpl w:val="97A0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B2032A"/>
    <w:multiLevelType w:val="hybridMultilevel"/>
    <w:tmpl w:val="C5A28F86"/>
    <w:lvl w:ilvl="0" w:tplc="FEDABC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18568C2"/>
    <w:multiLevelType w:val="hybridMultilevel"/>
    <w:tmpl w:val="6CA6B4F6"/>
    <w:lvl w:ilvl="0" w:tplc="AC7A46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51F78"/>
    <w:multiLevelType w:val="hybridMultilevel"/>
    <w:tmpl w:val="9578B464"/>
    <w:lvl w:ilvl="0" w:tplc="AC7A46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4"/>
  </w:num>
  <w:num w:numId="4">
    <w:abstractNumId w:val="25"/>
  </w:num>
  <w:num w:numId="5">
    <w:abstractNumId w:val="19"/>
  </w:num>
  <w:num w:numId="6">
    <w:abstractNumId w:val="0"/>
  </w:num>
  <w:num w:numId="7">
    <w:abstractNumId w:val="6"/>
  </w:num>
  <w:num w:numId="8">
    <w:abstractNumId w:val="14"/>
  </w:num>
  <w:num w:numId="9">
    <w:abstractNumId w:val="17"/>
  </w:num>
  <w:num w:numId="10">
    <w:abstractNumId w:val="16"/>
  </w:num>
  <w:num w:numId="11">
    <w:abstractNumId w:val="12"/>
  </w:num>
  <w:num w:numId="12">
    <w:abstractNumId w:val="23"/>
  </w:num>
  <w:num w:numId="13">
    <w:abstractNumId w:val="7"/>
  </w:num>
  <w:num w:numId="14">
    <w:abstractNumId w:val="18"/>
  </w:num>
  <w:num w:numId="15">
    <w:abstractNumId w:val="20"/>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15"/>
  </w:num>
  <w:num w:numId="37">
    <w:abstractNumId w:val="10"/>
  </w:num>
  <w:num w:numId="38">
    <w:abstractNumId w:val="22"/>
  </w:num>
  <w:num w:numId="39">
    <w:abstractNumId w:val="21"/>
  </w:num>
  <w:num w:numId="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3DE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4A4"/>
    <w:rsid w:val="000C6CBB"/>
    <w:rsid w:val="000C6D76"/>
    <w:rsid w:val="000C6E31"/>
    <w:rsid w:val="000C7168"/>
    <w:rsid w:val="000D0344"/>
    <w:rsid w:val="000D3B23"/>
    <w:rsid w:val="000D468C"/>
    <w:rsid w:val="000D4E78"/>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782"/>
    <w:rsid w:val="001D0659"/>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74F"/>
    <w:rsid w:val="002023A8"/>
    <w:rsid w:val="002023FE"/>
    <w:rsid w:val="002042A1"/>
    <w:rsid w:val="0020587A"/>
    <w:rsid w:val="00205B9C"/>
    <w:rsid w:val="00206268"/>
    <w:rsid w:val="00206464"/>
    <w:rsid w:val="00207048"/>
    <w:rsid w:val="0020734E"/>
    <w:rsid w:val="00207793"/>
    <w:rsid w:val="002107B2"/>
    <w:rsid w:val="0021160E"/>
    <w:rsid w:val="00212651"/>
    <w:rsid w:val="00214991"/>
    <w:rsid w:val="0021581E"/>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286"/>
    <w:rsid w:val="002A6FBE"/>
    <w:rsid w:val="002B1C9E"/>
    <w:rsid w:val="002B1E85"/>
    <w:rsid w:val="002B4A9F"/>
    <w:rsid w:val="002B565A"/>
    <w:rsid w:val="002B59FE"/>
    <w:rsid w:val="002B689A"/>
    <w:rsid w:val="002B7766"/>
    <w:rsid w:val="002C0977"/>
    <w:rsid w:val="002C24E5"/>
    <w:rsid w:val="002C28CD"/>
    <w:rsid w:val="002C34C3"/>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1BDE"/>
    <w:rsid w:val="002E2184"/>
    <w:rsid w:val="002E29BE"/>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35A"/>
    <w:rsid w:val="00366FA1"/>
    <w:rsid w:val="00367757"/>
    <w:rsid w:val="0037004C"/>
    <w:rsid w:val="003703CB"/>
    <w:rsid w:val="0037119B"/>
    <w:rsid w:val="003716D6"/>
    <w:rsid w:val="00371EED"/>
    <w:rsid w:val="00372A7D"/>
    <w:rsid w:val="00373E10"/>
    <w:rsid w:val="0037427C"/>
    <w:rsid w:val="00374DA4"/>
    <w:rsid w:val="003770E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88C"/>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6D07"/>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68F"/>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9C6"/>
    <w:rsid w:val="005936AE"/>
    <w:rsid w:val="005936AF"/>
    <w:rsid w:val="005942B4"/>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6665"/>
    <w:rsid w:val="005B79EA"/>
    <w:rsid w:val="005C0B1C"/>
    <w:rsid w:val="005C25B7"/>
    <w:rsid w:val="005C3EA0"/>
    <w:rsid w:val="005C7656"/>
    <w:rsid w:val="005D0520"/>
    <w:rsid w:val="005D1877"/>
    <w:rsid w:val="005D1DAC"/>
    <w:rsid w:val="005D2E91"/>
    <w:rsid w:val="005D34B6"/>
    <w:rsid w:val="005D38FB"/>
    <w:rsid w:val="005D4409"/>
    <w:rsid w:val="005D46A2"/>
    <w:rsid w:val="005D5A2E"/>
    <w:rsid w:val="005E0079"/>
    <w:rsid w:val="005E066C"/>
    <w:rsid w:val="005E2C44"/>
    <w:rsid w:val="005E300B"/>
    <w:rsid w:val="005E3280"/>
    <w:rsid w:val="005E5A4E"/>
    <w:rsid w:val="005E643A"/>
    <w:rsid w:val="005E64D8"/>
    <w:rsid w:val="005F0E08"/>
    <w:rsid w:val="005F0E61"/>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194"/>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16A"/>
    <w:rsid w:val="006D3886"/>
    <w:rsid w:val="006D39AD"/>
    <w:rsid w:val="006D4FEF"/>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CF9"/>
    <w:rsid w:val="00707064"/>
    <w:rsid w:val="00707362"/>
    <w:rsid w:val="00707D3A"/>
    <w:rsid w:val="0071066D"/>
    <w:rsid w:val="007125B7"/>
    <w:rsid w:val="00712AA2"/>
    <w:rsid w:val="00712F5A"/>
    <w:rsid w:val="007132D7"/>
    <w:rsid w:val="00713596"/>
    <w:rsid w:val="007136BA"/>
    <w:rsid w:val="00715011"/>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563"/>
    <w:rsid w:val="00742F54"/>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0D8"/>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89"/>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CFD"/>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A6F"/>
    <w:rsid w:val="00974FA3"/>
    <w:rsid w:val="00975E6F"/>
    <w:rsid w:val="00980067"/>
    <w:rsid w:val="00981B7A"/>
    <w:rsid w:val="00982B90"/>
    <w:rsid w:val="00983665"/>
    <w:rsid w:val="009861DD"/>
    <w:rsid w:val="00987F4F"/>
    <w:rsid w:val="00990A84"/>
    <w:rsid w:val="00990DC5"/>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AA3"/>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7C5"/>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3CFD"/>
    <w:rsid w:val="00AB4399"/>
    <w:rsid w:val="00AB4891"/>
    <w:rsid w:val="00AB502E"/>
    <w:rsid w:val="00AB5E83"/>
    <w:rsid w:val="00AB7302"/>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485"/>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6E8F"/>
    <w:rsid w:val="00C17D9F"/>
    <w:rsid w:val="00C20182"/>
    <w:rsid w:val="00C20F4E"/>
    <w:rsid w:val="00C2407A"/>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1A4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0037"/>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CDA"/>
    <w:rsid w:val="00D51DA3"/>
    <w:rsid w:val="00D5234E"/>
    <w:rsid w:val="00D52DEF"/>
    <w:rsid w:val="00D54ABF"/>
    <w:rsid w:val="00D55157"/>
    <w:rsid w:val="00D56017"/>
    <w:rsid w:val="00D563CC"/>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2E13"/>
    <w:rsid w:val="00D74B6B"/>
    <w:rsid w:val="00D760A8"/>
    <w:rsid w:val="00D76CB8"/>
    <w:rsid w:val="00D77A26"/>
    <w:rsid w:val="00D80C65"/>
    <w:rsid w:val="00D8495E"/>
    <w:rsid w:val="00D9074A"/>
    <w:rsid w:val="00D9097D"/>
    <w:rsid w:val="00D9417C"/>
    <w:rsid w:val="00D949C7"/>
    <w:rsid w:val="00D94E69"/>
    <w:rsid w:val="00D952E4"/>
    <w:rsid w:val="00D95B22"/>
    <w:rsid w:val="00DA0107"/>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AF1"/>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27A"/>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71C"/>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F98"/>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6F0"/>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821"/>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95F"/>
    <w:rsid w:val="00F340F4"/>
    <w:rsid w:val="00F34406"/>
    <w:rsid w:val="00F34408"/>
    <w:rsid w:val="00F36333"/>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1EB"/>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7DB"/>
    <w:rsid w:val="00FC6C42"/>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BB0"/>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2B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0C64A4"/>
    <w:pPr>
      <w:ind w:left="720"/>
      <w:contextualSpacing/>
    </w:pPr>
  </w:style>
  <w:style w:type="paragraph" w:customStyle="1" w:styleId="BoldComments">
    <w:name w:val="Bold Comments"/>
    <w:basedOn w:val="Normal"/>
    <w:link w:val="BoldCommentsChar"/>
    <w:qFormat/>
    <w:rsid w:val="00946CFD"/>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946CFD"/>
    <w:rPr>
      <w:rFonts w:ascii="Arial" w:hAnsi="Arial"/>
      <w:b/>
      <w:szCs w:val="24"/>
      <w:lang w:val="en-GB" w:eastAsia="en-GB"/>
    </w:rPr>
  </w:style>
  <w:style w:type="paragraph" w:styleId="Revision">
    <w:name w:val="Revision"/>
    <w:hidden/>
    <w:uiPriority w:val="99"/>
    <w:semiHidden/>
    <w:rsid w:val="005B666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915020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2811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813</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2019-11-07T12:50:00Z</dcterms:created>
  <dcterms:modified xsi:type="dcterms:W3CDTF">2019-11-08T12:03:00Z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(3)iF3zanEN3jHG6lRa/IXUoR53mOCmklLay0MPiSs3BbSpvx2kii1PgTIuyLfoItvC2r2TOWHO
tgg6oJuqA9JkZr8OEQ6bsya8Es3F2F1JVhsjNTwBGXHfiv6IFgmQQ5aobx1UbeiCX0BXIZRD
5UMiEY57Xaf+TXPBuMBWX9FkfjE5RGsjgrZxOOJDyakIFif/kg5oMrruOUU/7CEtxYHtibhN
5dudhjNTpeKfGtMyTi</vt:lpwstr>
  </property>
  <property fmtid="{D5CDD505-2E9C-101B-9397-08002B2CF9AE}" pid="17" name="_2015_ms_pID_7253431">
    <vt:lpwstr>m424m2QEL0TNL1tLcGJ5wJ8yPWOQJIB3eW8JzKubuaD3e3anV33UEw
fxeMw7HtPJGkPV3VLPQhs4cRXFl4j8TUGo8hSGMnP4rHThg8GmiEW22HR78oVhXxe/YSKGPm
0xM/6D1BgOQT4hVDtPzKfIP8c5ozTziZzsQ4tBxogAthI+tGAtYbujf/g6SUjDfu+uf4EKIr
zSXoGVFTJ+3Uept73FKL17zo9a0yLuB+AL3L</vt:lpwstr>
  </property>
  <property fmtid="{D5CDD505-2E9C-101B-9397-08002B2CF9AE}" pid="18" name="_2015_ms_pID_7253432">
    <vt:lpwstr>Yw==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1573126532</vt:lpwstr>
  </property>
</Properties>
</file>